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D844" w14:textId="77777777" w:rsidR="00DE3D74" w:rsidRDefault="00000000">
      <w:pPr>
        <w:spacing w:after="80"/>
        <w:jc w:val="center"/>
      </w:pPr>
      <w:r>
        <w:rPr>
          <w:b/>
          <w:bCs/>
          <w:color w:val="1B4332"/>
          <w:sz w:val="36"/>
          <w:szCs w:val="36"/>
        </w:rPr>
        <w:t>GOLDEN LEAF SCHOOL</w:t>
      </w:r>
    </w:p>
    <w:p w14:paraId="0A014A80" w14:textId="77777777" w:rsidR="00DE3D74" w:rsidRDefault="00000000">
      <w:pPr>
        <w:spacing w:after="40"/>
        <w:jc w:val="center"/>
      </w:pPr>
      <w:proofErr w:type="spellStart"/>
      <w:r>
        <w:rPr>
          <w:color w:val="555555"/>
          <w:sz w:val="20"/>
          <w:szCs w:val="20"/>
        </w:rPr>
        <w:t>Muwailih</w:t>
      </w:r>
      <w:proofErr w:type="spellEnd"/>
      <w:r>
        <w:rPr>
          <w:color w:val="555555"/>
          <w:sz w:val="20"/>
          <w:szCs w:val="20"/>
        </w:rPr>
        <w:t xml:space="preserve"> Commercial, School Zone, Sharjah, United Arab Emirates</w:t>
      </w:r>
    </w:p>
    <w:p w14:paraId="6E93C0E7" w14:textId="77777777" w:rsidR="00DE3D74" w:rsidRDefault="00000000">
      <w:pPr>
        <w:spacing w:after="40"/>
        <w:jc w:val="center"/>
      </w:pPr>
      <w:proofErr w:type="gramStart"/>
      <w:r>
        <w:rPr>
          <w:color w:val="777777"/>
          <w:sz w:val="18"/>
          <w:szCs w:val="18"/>
        </w:rPr>
        <w:t>info@goldenleafschools.com  |</w:t>
      </w:r>
      <w:proofErr w:type="gramEnd"/>
      <w:r>
        <w:rPr>
          <w:color w:val="777777"/>
          <w:sz w:val="18"/>
          <w:szCs w:val="18"/>
        </w:rPr>
        <w:t xml:space="preserve">  www.goldenleafschools.com</w:t>
      </w:r>
    </w:p>
    <w:p w14:paraId="355C44CC" w14:textId="77777777" w:rsidR="00DE3D74" w:rsidRDefault="00DE3D74">
      <w:pPr>
        <w:pBdr>
          <w:bottom w:val="single" w:sz="8" w:space="0" w:color="C8860A"/>
        </w:pBdr>
        <w:spacing w:before="60" w:after="60"/>
      </w:pPr>
    </w:p>
    <w:p w14:paraId="2FC808B9" w14:textId="77777777" w:rsidR="00DE3D74" w:rsidRDefault="00DE3D74"/>
    <w:p w14:paraId="2803670B" w14:textId="1131577D" w:rsidR="00DE3D74" w:rsidRDefault="00000000">
      <w:pPr>
        <w:spacing w:after="40"/>
        <w:jc w:val="right"/>
      </w:pPr>
      <w:r>
        <w:rPr>
          <w:color w:val="555555"/>
          <w:sz w:val="20"/>
          <w:szCs w:val="20"/>
        </w:rPr>
        <w:t>Ref: GLS/NOT/0</w:t>
      </w:r>
      <w:r w:rsidR="00181F6E">
        <w:rPr>
          <w:color w:val="555555"/>
          <w:sz w:val="20"/>
          <w:szCs w:val="20"/>
        </w:rPr>
        <w:t>9</w:t>
      </w:r>
      <w:r>
        <w:rPr>
          <w:color w:val="555555"/>
          <w:sz w:val="20"/>
          <w:szCs w:val="20"/>
        </w:rPr>
        <w:t>5/2026        Date: 02 June 2026</w:t>
      </w:r>
    </w:p>
    <w:p w14:paraId="2594CF90" w14:textId="77777777" w:rsidR="00DE3D74" w:rsidRDefault="00DE3D74"/>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E3D74" w14:paraId="60AC5CB2" w14:textId="77777777">
        <w:tblPrEx>
          <w:tblCellMar>
            <w:top w:w="0" w:type="dxa"/>
            <w:bottom w:w="0" w:type="dxa"/>
          </w:tblCellMar>
        </w:tblPrEx>
        <w:tc>
          <w:tcPr>
            <w:tcW w:w="9026" w:type="dxa"/>
            <w:shd w:val="clear" w:color="auto" w:fill="1B4332"/>
            <w:tcMar>
              <w:top w:w="160" w:type="dxa"/>
              <w:left w:w="200" w:type="dxa"/>
              <w:bottom w:w="160" w:type="dxa"/>
              <w:right w:w="200" w:type="dxa"/>
            </w:tcMar>
          </w:tcPr>
          <w:p w14:paraId="58EB947D" w14:textId="77777777" w:rsidR="00DE3D74" w:rsidRDefault="00000000">
            <w:pPr>
              <w:jc w:val="center"/>
            </w:pPr>
            <w:r>
              <w:rPr>
                <w:b/>
                <w:bCs/>
                <w:color w:val="FFFFFF"/>
                <w:sz w:val="30"/>
                <w:szCs w:val="30"/>
              </w:rPr>
              <w:t>NOTICE — SCHOLARSHIP APPLICATION 2026–2027</w:t>
            </w:r>
          </w:p>
        </w:tc>
      </w:tr>
    </w:tbl>
    <w:p w14:paraId="4F6CF7F9" w14:textId="77777777" w:rsidR="00DE3D74" w:rsidRDefault="00DE3D74"/>
    <w:p w14:paraId="2271E719" w14:textId="77777777" w:rsidR="00DE3D74" w:rsidRDefault="00000000">
      <w:pPr>
        <w:spacing w:before="60" w:after="60"/>
        <w:jc w:val="center"/>
      </w:pPr>
      <w:r>
        <w:rPr>
          <w:b/>
          <w:bCs/>
          <w:color w:val="1B4332"/>
        </w:rPr>
        <w:t>To: All Students (Grades 2 – 12) &amp; Parents / Guardians</w:t>
      </w:r>
    </w:p>
    <w:p w14:paraId="06BB632E" w14:textId="77777777" w:rsidR="00DE3D74" w:rsidRDefault="00DE3D74"/>
    <w:p w14:paraId="5DD89EEC" w14:textId="77777777" w:rsidR="00DE3D74" w:rsidRDefault="00000000">
      <w:pPr>
        <w:spacing w:before="100" w:after="100"/>
        <w:jc w:val="both"/>
      </w:pPr>
      <w:r>
        <w:rPr>
          <w:color w:val="1A1A1A"/>
        </w:rPr>
        <w:t>Dear Parents / Guardians,</w:t>
      </w:r>
    </w:p>
    <w:p w14:paraId="5A559AF3" w14:textId="77777777" w:rsidR="00DE3D74" w:rsidRDefault="00DE3D74"/>
    <w:p w14:paraId="2126469A" w14:textId="77777777" w:rsidR="00DE3D74" w:rsidRDefault="00000000">
      <w:pPr>
        <w:spacing w:before="100" w:after="100"/>
        <w:jc w:val="both"/>
      </w:pPr>
      <w:r>
        <w:rPr>
          <w:color w:val="1A1A1A"/>
        </w:rPr>
        <w:t>Golden Leaf School is pleased to announce that applications are now open for the Academic Scholarship Programme for the year 2026–2027. Our scholarship programme reflects the school's commitment to recognising excellence, supporting deserving students, and making quality education accessible to all.</w:t>
      </w:r>
    </w:p>
    <w:p w14:paraId="546F521E" w14:textId="77777777" w:rsidR="00DE3D74" w:rsidRDefault="00DE3D74"/>
    <w:p w14:paraId="4DAE3060" w14:textId="77777777" w:rsidR="00DE3D74" w:rsidRDefault="00000000">
      <w:pPr>
        <w:spacing w:before="140" w:after="80"/>
      </w:pPr>
      <w:r>
        <w:rPr>
          <w:b/>
          <w:bCs/>
          <w:color w:val="1B4332"/>
        </w:rPr>
        <w:t>Available Scholarships: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526"/>
      </w:tblGrid>
      <w:tr w:rsidR="00DE3D74" w14:paraId="3BBF9632"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2E82A6CC" w14:textId="77777777" w:rsidR="00DE3D74" w:rsidRDefault="00000000">
            <w:r>
              <w:rPr>
                <w:b/>
                <w:bCs/>
                <w:color w:val="1B4332"/>
                <w:sz w:val="20"/>
                <w:szCs w:val="20"/>
              </w:rPr>
              <w:t>Academic Excellence Award</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6545A45E" w14:textId="77777777" w:rsidR="00DE3D74" w:rsidRDefault="00000000">
            <w:r>
              <w:rPr>
                <w:color w:val="1A1A1A"/>
                <w:sz w:val="20"/>
                <w:szCs w:val="20"/>
              </w:rPr>
              <w:t>25% – 50% fee waiver — Grade average of 90% or above</w:t>
            </w:r>
          </w:p>
        </w:tc>
      </w:tr>
      <w:tr w:rsidR="00DE3D74" w14:paraId="66FF98D0"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3FF1D328" w14:textId="77777777" w:rsidR="00DE3D74" w:rsidRDefault="00000000">
            <w:r>
              <w:rPr>
                <w:b/>
                <w:bCs/>
                <w:color w:val="1B4332"/>
                <w:sz w:val="20"/>
                <w:szCs w:val="20"/>
              </w:rPr>
              <w:t>Golden Leaf Merit Award</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3B3E7AF3" w14:textId="77777777" w:rsidR="00DE3D74" w:rsidRDefault="00000000">
            <w:r>
              <w:rPr>
                <w:color w:val="1A1A1A"/>
                <w:sz w:val="20"/>
                <w:szCs w:val="20"/>
              </w:rPr>
              <w:t>Up to 75% fee waiver — All-round excellence in academics, sports &amp; arts</w:t>
            </w:r>
          </w:p>
        </w:tc>
      </w:tr>
      <w:tr w:rsidR="00DE3D74" w14:paraId="1FE7E190"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769649E9" w14:textId="77777777" w:rsidR="00DE3D74" w:rsidRDefault="00000000">
            <w:r>
              <w:rPr>
                <w:b/>
                <w:bCs/>
                <w:color w:val="1B4332"/>
                <w:sz w:val="20"/>
                <w:szCs w:val="20"/>
              </w:rPr>
              <w:t>Financial Need Bursary</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7E9E747D" w14:textId="77777777" w:rsidR="00DE3D74" w:rsidRDefault="00000000">
            <w:r>
              <w:rPr>
                <w:color w:val="1A1A1A"/>
                <w:sz w:val="20"/>
                <w:szCs w:val="20"/>
              </w:rPr>
              <w:t>30% – 60% fee waiver — Based on demonstrated financial need</w:t>
            </w:r>
          </w:p>
        </w:tc>
      </w:tr>
      <w:tr w:rsidR="00DE3D74" w14:paraId="0AD4D0D5"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1DC5186C" w14:textId="77777777" w:rsidR="00DE3D74" w:rsidRDefault="00000000">
            <w:r>
              <w:rPr>
                <w:b/>
                <w:bCs/>
                <w:color w:val="1B4332"/>
                <w:sz w:val="20"/>
                <w:szCs w:val="20"/>
              </w:rPr>
              <w:t>Sports &amp; Arts Award</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2D46A92C" w14:textId="77777777" w:rsidR="00DE3D74" w:rsidRDefault="00000000">
            <w:r>
              <w:rPr>
                <w:color w:val="1A1A1A"/>
                <w:sz w:val="20"/>
                <w:szCs w:val="20"/>
              </w:rPr>
              <w:t>Up to 40% fee waiver — UAE / regional level representation</w:t>
            </w:r>
          </w:p>
        </w:tc>
      </w:tr>
    </w:tbl>
    <w:p w14:paraId="215C38AC" w14:textId="77777777" w:rsidR="00DE3D74" w:rsidRDefault="00DE3D74"/>
    <w:p w14:paraId="69F6E849" w14:textId="77777777" w:rsidR="00DE3D74" w:rsidRDefault="00000000">
      <w:pPr>
        <w:spacing w:before="140" w:after="80"/>
      </w:pPr>
      <w:r>
        <w:rPr>
          <w:b/>
          <w:bCs/>
          <w:color w:val="1B4332"/>
        </w:rPr>
        <w:t>Eligibility Criteria:</w:t>
      </w:r>
    </w:p>
    <w:p w14:paraId="403A3580" w14:textId="77777777" w:rsidR="00DE3D74" w:rsidRDefault="00000000">
      <w:pPr>
        <w:pStyle w:val="ListParagraph"/>
        <w:numPr>
          <w:ilvl w:val="0"/>
          <w:numId w:val="2"/>
        </w:numPr>
        <w:spacing w:before="60" w:after="60"/>
      </w:pPr>
      <w:r>
        <w:rPr>
          <w:color w:val="1A1A1A"/>
        </w:rPr>
        <w:t>Currently enrolled students of Golden Leaf School from Grade 2 to Grade 12.</w:t>
      </w:r>
    </w:p>
    <w:p w14:paraId="14234871" w14:textId="77777777" w:rsidR="00DE3D74" w:rsidRDefault="00000000">
      <w:pPr>
        <w:pStyle w:val="ListParagraph"/>
        <w:numPr>
          <w:ilvl w:val="0"/>
          <w:numId w:val="2"/>
        </w:numPr>
        <w:spacing w:before="60" w:after="60"/>
      </w:pPr>
      <w:r>
        <w:rPr>
          <w:color w:val="1A1A1A"/>
        </w:rPr>
        <w:t>Minimum academic average of 85% for Merit-based awards.</w:t>
      </w:r>
    </w:p>
    <w:p w14:paraId="289EE1D5" w14:textId="77777777" w:rsidR="00DE3D74" w:rsidRDefault="00000000">
      <w:pPr>
        <w:pStyle w:val="ListParagraph"/>
        <w:numPr>
          <w:ilvl w:val="0"/>
          <w:numId w:val="2"/>
        </w:numPr>
        <w:spacing w:before="60" w:after="60"/>
      </w:pPr>
      <w:r>
        <w:rPr>
          <w:color w:val="1A1A1A"/>
        </w:rPr>
        <w:t>Good conduct record with no disciplinary action in the current academic year.</w:t>
      </w:r>
    </w:p>
    <w:p w14:paraId="724A667E" w14:textId="77777777" w:rsidR="00DE3D74" w:rsidRDefault="00000000">
      <w:pPr>
        <w:pStyle w:val="ListParagraph"/>
        <w:numPr>
          <w:ilvl w:val="0"/>
          <w:numId w:val="2"/>
        </w:numPr>
        <w:spacing w:before="60" w:after="60"/>
      </w:pPr>
      <w:r>
        <w:rPr>
          <w:color w:val="1A1A1A"/>
        </w:rPr>
        <w:t xml:space="preserve">Full-time </w:t>
      </w:r>
      <w:proofErr w:type="spellStart"/>
      <w:r>
        <w:rPr>
          <w:color w:val="1A1A1A"/>
        </w:rPr>
        <w:t>enrollment</w:t>
      </w:r>
      <w:proofErr w:type="spellEnd"/>
      <w:r>
        <w:rPr>
          <w:color w:val="1A1A1A"/>
        </w:rPr>
        <w:t xml:space="preserve"> for the complete academic year 2026–2027.</w:t>
      </w:r>
    </w:p>
    <w:p w14:paraId="2B4ADFDE" w14:textId="77777777" w:rsidR="00DE3D74" w:rsidRDefault="00000000">
      <w:pPr>
        <w:pStyle w:val="ListParagraph"/>
        <w:numPr>
          <w:ilvl w:val="0"/>
          <w:numId w:val="2"/>
        </w:numPr>
        <w:spacing w:before="60" w:after="60"/>
      </w:pPr>
      <w:r>
        <w:rPr>
          <w:color w:val="1A1A1A"/>
        </w:rPr>
        <w:t>Applications must be submitted by the parent or legal guardian.</w:t>
      </w:r>
    </w:p>
    <w:p w14:paraId="727B174B" w14:textId="77777777" w:rsidR="00DE3D74" w:rsidRDefault="00DE3D74"/>
    <w:p w14:paraId="77399BAB" w14:textId="77777777" w:rsidR="00DE3D74" w:rsidRDefault="00000000">
      <w:pPr>
        <w:spacing w:before="140" w:after="80"/>
      </w:pPr>
      <w:r>
        <w:rPr>
          <w:b/>
          <w:bCs/>
          <w:color w:val="1B4332"/>
        </w:rPr>
        <w:t>Required Documents:</w:t>
      </w:r>
    </w:p>
    <w:p w14:paraId="7815E009" w14:textId="77777777" w:rsidR="00DE3D74" w:rsidRDefault="00000000">
      <w:pPr>
        <w:pStyle w:val="ListParagraph"/>
        <w:numPr>
          <w:ilvl w:val="0"/>
          <w:numId w:val="2"/>
        </w:numPr>
        <w:spacing w:before="60" w:after="60"/>
      </w:pPr>
      <w:r>
        <w:rPr>
          <w:color w:val="1A1A1A"/>
        </w:rPr>
        <w:t>Completed scholarship application form (available from the school office or website).</w:t>
      </w:r>
    </w:p>
    <w:p w14:paraId="7A40AF47" w14:textId="77777777" w:rsidR="00DE3D74" w:rsidRDefault="00000000">
      <w:pPr>
        <w:pStyle w:val="ListParagraph"/>
        <w:numPr>
          <w:ilvl w:val="0"/>
          <w:numId w:val="2"/>
        </w:numPr>
        <w:spacing w:before="60" w:after="60"/>
      </w:pPr>
      <w:r>
        <w:rPr>
          <w:color w:val="1A1A1A"/>
        </w:rPr>
        <w:t>Latest school report card (2025–2026 academic year).</w:t>
      </w:r>
    </w:p>
    <w:p w14:paraId="1E913A4B" w14:textId="77777777" w:rsidR="00DE3D74" w:rsidRDefault="00000000">
      <w:pPr>
        <w:pStyle w:val="ListParagraph"/>
        <w:numPr>
          <w:ilvl w:val="0"/>
          <w:numId w:val="2"/>
        </w:numPr>
        <w:spacing w:before="60" w:after="60"/>
      </w:pPr>
      <w:r>
        <w:rPr>
          <w:color w:val="1A1A1A"/>
        </w:rPr>
        <w:t>Copy of student's Emirates ID and passport.</w:t>
      </w:r>
    </w:p>
    <w:p w14:paraId="447620B1" w14:textId="77777777" w:rsidR="00DE3D74" w:rsidRDefault="00000000">
      <w:pPr>
        <w:pStyle w:val="ListParagraph"/>
        <w:numPr>
          <w:ilvl w:val="0"/>
          <w:numId w:val="2"/>
        </w:numPr>
        <w:spacing w:before="60" w:after="60"/>
      </w:pPr>
      <w:r>
        <w:rPr>
          <w:color w:val="1A1A1A"/>
        </w:rPr>
        <w:t>For Financial Need Bursary: proof of income / employment letter of parent/guardian.</w:t>
      </w:r>
    </w:p>
    <w:p w14:paraId="02D11127" w14:textId="77777777" w:rsidR="00DE3D74" w:rsidRDefault="00000000">
      <w:pPr>
        <w:pStyle w:val="ListParagraph"/>
        <w:numPr>
          <w:ilvl w:val="0"/>
          <w:numId w:val="2"/>
        </w:numPr>
        <w:spacing w:before="60" w:after="60"/>
      </w:pPr>
      <w:r>
        <w:rPr>
          <w:color w:val="1A1A1A"/>
        </w:rPr>
        <w:t>For Sports &amp; Arts Award: certificates or official letters confirming participation.</w:t>
      </w:r>
    </w:p>
    <w:p w14:paraId="298BB965" w14:textId="77777777" w:rsidR="00DE3D74" w:rsidRDefault="00000000">
      <w:pPr>
        <w:pStyle w:val="ListParagraph"/>
        <w:numPr>
          <w:ilvl w:val="0"/>
          <w:numId w:val="2"/>
        </w:numPr>
        <w:spacing w:before="60" w:after="60"/>
      </w:pPr>
      <w:r>
        <w:rPr>
          <w:color w:val="1A1A1A"/>
        </w:rPr>
        <w:t>One letter of recommendation from a subject teacher or Head of Department.</w:t>
      </w:r>
    </w:p>
    <w:p w14:paraId="70542252" w14:textId="77777777" w:rsidR="00DE3D74" w:rsidRDefault="00DE3D74"/>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526"/>
      </w:tblGrid>
      <w:tr w:rsidR="00DE3D74" w14:paraId="228F9646"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66B59155" w14:textId="77777777" w:rsidR="00DE3D74" w:rsidRDefault="00000000">
            <w:r>
              <w:rPr>
                <w:b/>
                <w:bCs/>
                <w:color w:val="1B4332"/>
                <w:sz w:val="20"/>
                <w:szCs w:val="20"/>
              </w:rPr>
              <w:t>Application Opens</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5E95594C" w14:textId="77777777" w:rsidR="00DE3D74" w:rsidRDefault="00000000">
            <w:r>
              <w:rPr>
                <w:color w:val="1A1A1A"/>
                <w:sz w:val="20"/>
                <w:szCs w:val="20"/>
              </w:rPr>
              <w:t>02 June 2026</w:t>
            </w:r>
          </w:p>
        </w:tc>
      </w:tr>
      <w:tr w:rsidR="00DE3D74" w14:paraId="6E61EA2F"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7984B0DA" w14:textId="77777777" w:rsidR="00DE3D74" w:rsidRDefault="00000000">
            <w:r>
              <w:rPr>
                <w:b/>
                <w:bCs/>
                <w:color w:val="1B4332"/>
                <w:sz w:val="20"/>
                <w:szCs w:val="20"/>
              </w:rPr>
              <w:t>Application Deadline</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72818896" w14:textId="77777777" w:rsidR="00DE3D74" w:rsidRDefault="00000000">
            <w:r>
              <w:rPr>
                <w:color w:val="1A1A1A"/>
                <w:sz w:val="20"/>
                <w:szCs w:val="20"/>
              </w:rPr>
              <w:t>30 June 2026</w:t>
            </w:r>
          </w:p>
        </w:tc>
      </w:tr>
      <w:tr w:rsidR="00DE3D74" w14:paraId="6000571D"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3D620B7B" w14:textId="77777777" w:rsidR="00DE3D74" w:rsidRDefault="00000000">
            <w:r>
              <w:rPr>
                <w:b/>
                <w:bCs/>
                <w:color w:val="1B4332"/>
                <w:sz w:val="20"/>
                <w:szCs w:val="20"/>
              </w:rPr>
              <w:t>Interview / Review</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755F31A4" w14:textId="77777777" w:rsidR="00DE3D74" w:rsidRDefault="00000000">
            <w:r>
              <w:rPr>
                <w:color w:val="1A1A1A"/>
                <w:sz w:val="20"/>
                <w:szCs w:val="20"/>
              </w:rPr>
              <w:t>Week of 06 July 2026</w:t>
            </w:r>
          </w:p>
        </w:tc>
      </w:tr>
      <w:tr w:rsidR="00DE3D74" w14:paraId="59BBC921"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081ADB2A" w14:textId="77777777" w:rsidR="00DE3D74" w:rsidRDefault="00000000">
            <w:r>
              <w:rPr>
                <w:b/>
                <w:bCs/>
                <w:color w:val="1B4332"/>
                <w:sz w:val="20"/>
                <w:szCs w:val="20"/>
              </w:rPr>
              <w:lastRenderedPageBreak/>
              <w:t>Results Announced</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095695C1" w14:textId="77777777" w:rsidR="00DE3D74" w:rsidRDefault="00000000">
            <w:r>
              <w:rPr>
                <w:color w:val="1A1A1A"/>
                <w:sz w:val="20"/>
                <w:szCs w:val="20"/>
              </w:rPr>
              <w:t>By 20 July 2026</w:t>
            </w:r>
          </w:p>
        </w:tc>
      </w:tr>
      <w:tr w:rsidR="00DE3D74" w14:paraId="0DBEADAB"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141FE3CA" w14:textId="77777777" w:rsidR="00DE3D74" w:rsidRDefault="00000000">
            <w:r>
              <w:rPr>
                <w:b/>
                <w:bCs/>
                <w:color w:val="1B4332"/>
                <w:sz w:val="20"/>
                <w:szCs w:val="20"/>
              </w:rPr>
              <w:t>Submit Forms To</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267265F8" w14:textId="77777777" w:rsidR="00DE3D74" w:rsidRDefault="00000000">
            <w:r>
              <w:rPr>
                <w:color w:val="1A1A1A"/>
                <w:sz w:val="20"/>
                <w:szCs w:val="20"/>
              </w:rPr>
              <w:t>Admissions Office — GLS Main Building, Ground Floor</w:t>
            </w:r>
          </w:p>
        </w:tc>
      </w:tr>
      <w:tr w:rsidR="00DE3D74" w14:paraId="2D54189A"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6719330A" w14:textId="77777777" w:rsidR="00DE3D74" w:rsidRDefault="00000000">
            <w:r>
              <w:rPr>
                <w:b/>
                <w:bCs/>
                <w:color w:val="1B4332"/>
                <w:sz w:val="20"/>
                <w:szCs w:val="20"/>
              </w:rPr>
              <w:t>Contact</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4CC7F022" w14:textId="77777777" w:rsidR="00DE3D74" w:rsidRDefault="00000000">
            <w:r>
              <w:rPr>
                <w:color w:val="1A1A1A"/>
                <w:sz w:val="20"/>
                <w:szCs w:val="20"/>
              </w:rPr>
              <w:t>admin@goldenleafschools.com</w:t>
            </w:r>
          </w:p>
        </w:tc>
      </w:tr>
    </w:tbl>
    <w:p w14:paraId="0E409408" w14:textId="77777777" w:rsidR="00DE3D74" w:rsidRDefault="00DE3D74"/>
    <w:p w14:paraId="5E7BA057" w14:textId="77777777" w:rsidR="00DE3D74" w:rsidRDefault="00000000">
      <w:pPr>
        <w:spacing w:before="140" w:after="80"/>
      </w:pPr>
      <w:r>
        <w:rPr>
          <w:b/>
          <w:bCs/>
          <w:color w:val="1B4332"/>
        </w:rPr>
        <w:t>Important Notes:</w:t>
      </w:r>
    </w:p>
    <w:p w14:paraId="47C3149A" w14:textId="77777777" w:rsidR="00DE3D74" w:rsidRDefault="00000000">
      <w:pPr>
        <w:pStyle w:val="ListParagraph"/>
        <w:numPr>
          <w:ilvl w:val="0"/>
          <w:numId w:val="2"/>
        </w:numPr>
        <w:spacing w:before="60" w:after="60"/>
      </w:pPr>
      <w:r>
        <w:rPr>
          <w:color w:val="1A1A1A"/>
        </w:rPr>
        <w:t>Scholarships are awarded on an annual basis and renewed subject to continued eligibility.</w:t>
      </w:r>
    </w:p>
    <w:p w14:paraId="21FA4079" w14:textId="77777777" w:rsidR="00DE3D74" w:rsidRDefault="00000000">
      <w:pPr>
        <w:pStyle w:val="ListParagraph"/>
        <w:numPr>
          <w:ilvl w:val="0"/>
          <w:numId w:val="2"/>
        </w:numPr>
        <w:spacing w:before="60" w:after="60"/>
      </w:pPr>
      <w:r>
        <w:rPr>
          <w:color w:val="1A1A1A"/>
        </w:rPr>
        <w:t>The School Scholarship Committee's decision is final and binding.</w:t>
      </w:r>
    </w:p>
    <w:p w14:paraId="18882459" w14:textId="77777777" w:rsidR="00DE3D74" w:rsidRDefault="00000000">
      <w:pPr>
        <w:pStyle w:val="ListParagraph"/>
        <w:numPr>
          <w:ilvl w:val="0"/>
          <w:numId w:val="2"/>
        </w:numPr>
        <w:spacing w:before="60" w:after="60"/>
      </w:pPr>
      <w:r>
        <w:rPr>
          <w:color w:val="1A1A1A"/>
        </w:rPr>
        <w:t>Incomplete applications will not be considered.</w:t>
      </w:r>
    </w:p>
    <w:p w14:paraId="39E71B43" w14:textId="77777777" w:rsidR="00DE3D74" w:rsidRDefault="00000000">
      <w:pPr>
        <w:pStyle w:val="ListParagraph"/>
        <w:numPr>
          <w:ilvl w:val="0"/>
          <w:numId w:val="2"/>
        </w:numPr>
        <w:spacing w:before="60" w:after="60"/>
      </w:pPr>
      <w:r>
        <w:rPr>
          <w:color w:val="1A1A1A"/>
        </w:rPr>
        <w:t xml:space="preserve">Scholarship amounts may not be combined unless specifically approved by the </w:t>
      </w:r>
      <w:proofErr w:type="gramStart"/>
      <w:r>
        <w:rPr>
          <w:color w:val="1A1A1A"/>
        </w:rPr>
        <w:t>Principal</w:t>
      </w:r>
      <w:proofErr w:type="gramEnd"/>
      <w:r>
        <w:rPr>
          <w:color w:val="1A1A1A"/>
        </w:rPr>
        <w:t>.</w:t>
      </w:r>
    </w:p>
    <w:p w14:paraId="720DA444" w14:textId="77777777" w:rsidR="00DE3D74" w:rsidRDefault="00000000">
      <w:pPr>
        <w:pStyle w:val="ListParagraph"/>
        <w:numPr>
          <w:ilvl w:val="0"/>
          <w:numId w:val="2"/>
        </w:numPr>
        <w:spacing w:before="60" w:after="60"/>
      </w:pPr>
      <w:r>
        <w:rPr>
          <w:color w:val="1A1A1A"/>
        </w:rPr>
        <w:t>All awarded students will be formally recognised at the Annual Prize Giving Ceremony.</w:t>
      </w:r>
    </w:p>
    <w:p w14:paraId="1063B71F" w14:textId="77777777" w:rsidR="00DE3D74" w:rsidRDefault="00DE3D74"/>
    <w:p w14:paraId="5C74E1D3" w14:textId="77777777" w:rsidR="00DE3D74" w:rsidRDefault="00000000">
      <w:pPr>
        <w:spacing w:before="100" w:after="100"/>
        <w:jc w:val="both"/>
      </w:pPr>
      <w:r>
        <w:rPr>
          <w:color w:val="1A1A1A"/>
        </w:rPr>
        <w:t>We strongly encourage all eligible students to apply. For further information or to collect application forms, please visit the Admissions Office or contact us at admin@goldenleafschools.com.</w:t>
      </w:r>
    </w:p>
    <w:p w14:paraId="0B083306" w14:textId="77777777" w:rsidR="00DE3D74" w:rsidRDefault="00DE3D74"/>
    <w:p w14:paraId="549A18B6" w14:textId="77777777" w:rsidR="00DE3D74" w:rsidRDefault="00000000">
      <w:pPr>
        <w:spacing w:before="100" w:after="40"/>
      </w:pPr>
      <w:r>
        <w:rPr>
          <w:color w:val="1A1A1A"/>
        </w:rPr>
        <w:t>Warm regards,</w:t>
      </w:r>
    </w:p>
    <w:p w14:paraId="36B2EC6A" w14:textId="77777777" w:rsidR="00DE3D74" w:rsidRDefault="00000000">
      <w:pPr>
        <w:spacing w:before="40" w:after="40"/>
      </w:pPr>
      <w:r>
        <w:rPr>
          <w:b/>
          <w:bCs/>
          <w:color w:val="1B4332"/>
        </w:rPr>
        <w:t xml:space="preserve">The </w:t>
      </w:r>
      <w:proofErr w:type="gramStart"/>
      <w:r>
        <w:rPr>
          <w:b/>
          <w:bCs/>
          <w:color w:val="1B4332"/>
        </w:rPr>
        <w:t>Principal</w:t>
      </w:r>
      <w:proofErr w:type="gramEnd"/>
    </w:p>
    <w:p w14:paraId="09246060" w14:textId="77777777" w:rsidR="00DE3D74" w:rsidRDefault="00000000">
      <w:pPr>
        <w:spacing w:before="20" w:after="40"/>
      </w:pPr>
      <w:r>
        <w:rPr>
          <w:color w:val="1A1A1A"/>
        </w:rPr>
        <w:t>Golden Leaf School, Sharjah</w:t>
      </w:r>
    </w:p>
    <w:p w14:paraId="5391E963" w14:textId="77777777" w:rsidR="00DE3D74" w:rsidRDefault="00DE3D74"/>
    <w:p w14:paraId="1FB362BE" w14:textId="77777777" w:rsidR="00DE3D74" w:rsidRDefault="00DE3D74">
      <w:pPr>
        <w:pBdr>
          <w:bottom w:val="single" w:sz="8" w:space="0" w:color="C8860A"/>
        </w:pBdr>
        <w:spacing w:before="60" w:after="60"/>
      </w:pPr>
    </w:p>
    <w:p w14:paraId="3FDFDC74" w14:textId="77777777" w:rsidR="00DE3D74" w:rsidRDefault="00000000">
      <w:pPr>
        <w:spacing w:before="80"/>
        <w:jc w:val="center"/>
      </w:pPr>
      <w:r>
        <w:rPr>
          <w:i/>
          <w:iCs/>
          <w:color w:val="999999"/>
          <w:sz w:val="18"/>
          <w:szCs w:val="18"/>
        </w:rPr>
        <w:t>Golden Leaf School — Est. 2012 — Sharjah, UAE — info@goldenleafschools.com</w:t>
      </w:r>
    </w:p>
    <w:sectPr w:rsidR="00DE3D74">
      <w:pgSz w:w="11906" w:h="16838"/>
      <w:pgMar w:top="1000" w:right="1000" w:bottom="1000" w:left="10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D1295"/>
    <w:multiLevelType w:val="hybridMultilevel"/>
    <w:tmpl w:val="13E6A0A0"/>
    <w:lvl w:ilvl="0" w:tplc="A81CE61A">
      <w:start w:val="1"/>
      <w:numFmt w:val="bullet"/>
      <w:lvlText w:val="●"/>
      <w:lvlJc w:val="left"/>
      <w:pPr>
        <w:ind w:left="720" w:hanging="360"/>
      </w:pPr>
    </w:lvl>
    <w:lvl w:ilvl="1" w:tplc="1BEC85A0">
      <w:start w:val="1"/>
      <w:numFmt w:val="bullet"/>
      <w:lvlText w:val="○"/>
      <w:lvlJc w:val="left"/>
      <w:pPr>
        <w:ind w:left="1440" w:hanging="360"/>
      </w:pPr>
    </w:lvl>
    <w:lvl w:ilvl="2" w:tplc="E1D071BC">
      <w:start w:val="1"/>
      <w:numFmt w:val="bullet"/>
      <w:lvlText w:val="■"/>
      <w:lvlJc w:val="left"/>
      <w:pPr>
        <w:ind w:left="2160" w:hanging="360"/>
      </w:pPr>
    </w:lvl>
    <w:lvl w:ilvl="3" w:tplc="D9F4E538">
      <w:start w:val="1"/>
      <w:numFmt w:val="bullet"/>
      <w:lvlText w:val="●"/>
      <w:lvlJc w:val="left"/>
      <w:pPr>
        <w:ind w:left="2880" w:hanging="360"/>
      </w:pPr>
    </w:lvl>
    <w:lvl w:ilvl="4" w:tplc="5A1EA3C8">
      <w:start w:val="1"/>
      <w:numFmt w:val="bullet"/>
      <w:lvlText w:val="○"/>
      <w:lvlJc w:val="left"/>
      <w:pPr>
        <w:ind w:left="3600" w:hanging="360"/>
      </w:pPr>
    </w:lvl>
    <w:lvl w:ilvl="5" w:tplc="E1FAE2BC">
      <w:start w:val="1"/>
      <w:numFmt w:val="bullet"/>
      <w:lvlText w:val="■"/>
      <w:lvlJc w:val="left"/>
      <w:pPr>
        <w:ind w:left="4320" w:hanging="360"/>
      </w:pPr>
    </w:lvl>
    <w:lvl w:ilvl="6" w:tplc="D80854DC">
      <w:start w:val="1"/>
      <w:numFmt w:val="bullet"/>
      <w:lvlText w:val="●"/>
      <w:lvlJc w:val="left"/>
      <w:pPr>
        <w:ind w:left="5040" w:hanging="360"/>
      </w:pPr>
    </w:lvl>
    <w:lvl w:ilvl="7" w:tplc="032E6B92">
      <w:start w:val="1"/>
      <w:numFmt w:val="bullet"/>
      <w:lvlText w:val="●"/>
      <w:lvlJc w:val="left"/>
      <w:pPr>
        <w:ind w:left="5760" w:hanging="360"/>
      </w:pPr>
    </w:lvl>
    <w:lvl w:ilvl="8" w:tplc="3D0A0D80">
      <w:start w:val="1"/>
      <w:numFmt w:val="bullet"/>
      <w:lvlText w:val="●"/>
      <w:lvlJc w:val="left"/>
      <w:pPr>
        <w:ind w:left="6480" w:hanging="360"/>
      </w:pPr>
    </w:lvl>
  </w:abstractNum>
  <w:abstractNum w:abstractNumId="1" w15:restartNumberingAfterBreak="0">
    <w:nsid w:val="72FB4C67"/>
    <w:multiLevelType w:val="hybridMultilevel"/>
    <w:tmpl w:val="C75003B6"/>
    <w:lvl w:ilvl="0" w:tplc="9C447BEE">
      <w:start w:val="1"/>
      <w:numFmt w:val="bullet"/>
      <w:lvlText w:val="•"/>
      <w:lvlJc w:val="left"/>
      <w:pPr>
        <w:ind w:left="640" w:hanging="320"/>
      </w:pPr>
    </w:lvl>
    <w:lvl w:ilvl="1" w:tplc="CC94DCDA">
      <w:numFmt w:val="decimal"/>
      <w:lvlText w:val=""/>
      <w:lvlJc w:val="left"/>
    </w:lvl>
    <w:lvl w:ilvl="2" w:tplc="236C4C9A">
      <w:numFmt w:val="decimal"/>
      <w:lvlText w:val=""/>
      <w:lvlJc w:val="left"/>
    </w:lvl>
    <w:lvl w:ilvl="3" w:tplc="0EAEAC00">
      <w:numFmt w:val="decimal"/>
      <w:lvlText w:val=""/>
      <w:lvlJc w:val="left"/>
    </w:lvl>
    <w:lvl w:ilvl="4" w:tplc="0756D07C">
      <w:numFmt w:val="decimal"/>
      <w:lvlText w:val=""/>
      <w:lvlJc w:val="left"/>
    </w:lvl>
    <w:lvl w:ilvl="5" w:tplc="9F1C8822">
      <w:numFmt w:val="decimal"/>
      <w:lvlText w:val=""/>
      <w:lvlJc w:val="left"/>
    </w:lvl>
    <w:lvl w:ilvl="6" w:tplc="ED5A147C">
      <w:numFmt w:val="decimal"/>
      <w:lvlText w:val=""/>
      <w:lvlJc w:val="left"/>
    </w:lvl>
    <w:lvl w:ilvl="7" w:tplc="4B42AD80">
      <w:numFmt w:val="decimal"/>
      <w:lvlText w:val=""/>
      <w:lvlJc w:val="left"/>
    </w:lvl>
    <w:lvl w:ilvl="8" w:tplc="831644C6">
      <w:numFmt w:val="decimal"/>
      <w:lvlText w:val=""/>
      <w:lvlJc w:val="left"/>
    </w:lvl>
  </w:abstractNum>
  <w:num w:numId="1" w16cid:durableId="1100489880">
    <w:abstractNumId w:val="0"/>
    <w:lvlOverride w:ilvl="0">
      <w:startOverride w:val="1"/>
    </w:lvlOverride>
  </w:num>
  <w:num w:numId="2" w16cid:durableId="71620050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D74"/>
    <w:rsid w:val="00060120"/>
    <w:rsid w:val="00181F6E"/>
    <w:rsid w:val="00DE3D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5C50"/>
  <w15:docId w15:val="{806A932E-9AC2-4069-AF87-5FED9FD4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jacob Martin</cp:lastModifiedBy>
  <cp:revision>2</cp:revision>
  <dcterms:created xsi:type="dcterms:W3CDTF">2026-06-09T14:09:00Z</dcterms:created>
  <dcterms:modified xsi:type="dcterms:W3CDTF">2026-06-09T14:22:00Z</dcterms:modified>
</cp:coreProperties>
</file>